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B5456" w14:textId="77777777" w:rsidR="00261907" w:rsidRPr="00261907" w:rsidRDefault="00261907" w:rsidP="00261907">
      <w:pPr>
        <w:spacing w:line="300" w:lineRule="atLeast"/>
        <w:rPr>
          <w:rFonts w:ascii="PalatinoLinotype-Bold" w:hAnsi="PalatinoLinotype-Bold" w:cs="Times New Roman"/>
          <w:b/>
          <w:bCs/>
          <w:color w:val="000000"/>
          <w:sz w:val="18"/>
          <w:szCs w:val="18"/>
        </w:rPr>
      </w:pPr>
      <w:r w:rsidRPr="00261907">
        <w:rPr>
          <w:rFonts w:ascii="PalatinoLinotype-Bold" w:hAnsi="PalatinoLinotype-Bold" w:cs="Times New Roman"/>
          <w:b/>
          <w:bCs/>
          <w:color w:val="000000"/>
          <w:sz w:val="18"/>
          <w:szCs w:val="18"/>
        </w:rPr>
        <w:t>RULE BOOK</w:t>
      </w:r>
      <w:r w:rsidR="001072B8">
        <w:rPr>
          <w:rFonts w:ascii="PalatinoLinotype-Bold" w:hAnsi="PalatinoLinotype-Bold" w:cs="Times New Roman"/>
          <w:b/>
          <w:bCs/>
          <w:color w:val="000000"/>
          <w:sz w:val="18"/>
          <w:szCs w:val="18"/>
        </w:rPr>
        <w:t xml:space="preserve"> FOR READINGS</w:t>
      </w:r>
    </w:p>
    <w:p w14:paraId="404F3E62" w14:textId="77777777" w:rsidR="00261907" w:rsidRPr="00261907" w:rsidRDefault="00261907" w:rsidP="00261907">
      <w:pPr>
        <w:spacing w:line="300" w:lineRule="atLeast"/>
        <w:rPr>
          <w:rFonts w:ascii="PalatinoLinotype-Bold" w:hAnsi="PalatinoLinotype-Bold" w:cs="Times New Roman"/>
          <w:b/>
          <w:bCs/>
          <w:color w:val="000000"/>
          <w:sz w:val="18"/>
          <w:szCs w:val="18"/>
        </w:rPr>
      </w:pPr>
      <w:r w:rsidRPr="00261907">
        <w:rPr>
          <w:rFonts w:ascii="PalatinoLinotype-Bold" w:hAnsi="PalatinoLinotype-Bold" w:cs="Times New Roman"/>
          <w:b/>
          <w:bCs/>
          <w:color w:val="000000"/>
          <w:sz w:val="18"/>
          <w:szCs w:val="18"/>
        </w:rPr>
        <w:t>(For the first assignment; but later assignments will work in analogous fashion)</w:t>
      </w:r>
    </w:p>
    <w:p w14:paraId="3B1918F5" w14:textId="77777777" w:rsidR="00261907" w:rsidRPr="00261907" w:rsidRDefault="00261907" w:rsidP="00261907">
      <w:pPr>
        <w:spacing w:line="300" w:lineRule="atLeast"/>
        <w:ind w:firstLine="540"/>
        <w:rPr>
          <w:rFonts w:ascii="TimesNewRomanPSMT" w:hAnsi="TimesNewRomanPSMT" w:cs="TimesNewRomanPSMT"/>
          <w:color w:val="000000"/>
          <w:sz w:val="18"/>
          <w:szCs w:val="18"/>
        </w:rPr>
      </w:pPr>
    </w:p>
    <w:p w14:paraId="4CDF434C"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1. Read the entirety of </w:t>
      </w:r>
      <w:r w:rsidRPr="00261907">
        <w:rPr>
          <w:rFonts w:ascii="PalatinoLinotype-Italic" w:hAnsi="PalatinoLinotype-Italic" w:cs="Times New Roman"/>
          <w:i/>
          <w:iCs/>
          <w:color w:val="000000"/>
          <w:sz w:val="18"/>
          <w:szCs w:val="18"/>
        </w:rPr>
        <w:t>Republic</w:t>
      </w:r>
      <w:r w:rsidRPr="00261907">
        <w:rPr>
          <w:rFonts w:ascii="PalatinoLinotype-Roman" w:hAnsi="PalatinoLinotype-Roman" w:cs="Times New Roman"/>
          <w:color w:val="000000"/>
          <w:sz w:val="18"/>
          <w:szCs w:val="18"/>
        </w:rPr>
        <w:t> book one rapidly but attentively in translation. Jowett is not a bad choice. That will be the last time you look at a translation in class preparation on this author.</w:t>
      </w:r>
    </w:p>
    <w:p w14:paraId="2C25A1B6"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2. Read the Greek on-line, using the TLG (</w:t>
      </w:r>
      <w:r w:rsidRPr="00261907">
        <w:rPr>
          <w:rFonts w:ascii="PalatinoLinotype-Roman" w:hAnsi="PalatinoLinotype-Roman" w:cs="Times New Roman"/>
          <w:color w:val="000000"/>
          <w:sz w:val="18"/>
          <w:szCs w:val="18"/>
          <w:u w:val="single"/>
        </w:rPr>
        <w:t>not</w:t>
      </w:r>
      <w:r w:rsidRPr="00261907">
        <w:rPr>
          <w:rFonts w:ascii="PalatinoLinotype-Roman" w:hAnsi="PalatinoLinotype-Roman" w:cs="Times New Roman"/>
          <w:color w:val="000000"/>
          <w:sz w:val="18"/>
          <w:szCs w:val="18"/>
        </w:rPr>
        <w:t> Perseus). When you come to a word you don't know, use the on-line TLG LSJ to look up the word. DO NOT click on the word in the text —which has the TLG analyzer generate the lemma— unless you absolutely have to. Part of the drill is for you to generate the lemma reliably on your own.</w:t>
      </w:r>
      <w:r w:rsidR="001072B8">
        <w:rPr>
          <w:rFonts w:ascii="PalatinoLinotype-Roman" w:hAnsi="PalatinoLinotype-Roman" w:cs="Times New Roman"/>
          <w:color w:val="000000"/>
          <w:sz w:val="18"/>
          <w:szCs w:val="18"/>
        </w:rPr>
        <w:t xml:space="preserve"> (You can of course use the OCT or a print-out for written notes too, but use the TLG text in cases where you cannot parse the form.)</w:t>
      </w:r>
      <w:bookmarkStart w:id="0" w:name="_GoBack"/>
      <w:bookmarkEnd w:id="0"/>
    </w:p>
    <w:p w14:paraId="3AB99A8F"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3. If you MUST use the TLG analyzer to parse the word for you, then </w:t>
      </w:r>
      <w:r w:rsidRPr="00261907">
        <w:rPr>
          <w:rFonts w:ascii="PalatinoLinotype-Bold" w:hAnsi="PalatinoLinotype-Bold" w:cs="Times New Roman"/>
          <w:b/>
          <w:bCs/>
          <w:color w:val="000000"/>
          <w:sz w:val="18"/>
          <w:szCs w:val="18"/>
        </w:rPr>
        <w:t>write that word down</w:t>
      </w:r>
      <w:r w:rsidRPr="00261907">
        <w:rPr>
          <w:rFonts w:ascii="PalatinoLinotype-Roman" w:hAnsi="PalatinoLinotype-Roman" w:cs="Times New Roman"/>
          <w:color w:val="000000"/>
          <w:sz w:val="18"/>
          <w:szCs w:val="18"/>
        </w:rPr>
        <w:t>. We will start each class with the list of words generated by each student, and talk through how one should be able to derive the lemma.</w:t>
      </w:r>
    </w:p>
    <w:p w14:paraId="7D6B38D0"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4. When you look up a word in TLG/LSJ, note whether the word is a large or small entry. For small entries, move on. For substantial entries beyond the screen rollover —this means it's a common word— study the word. Make it your friend. If the word is not used in an uncommon way in the passage (for Republic, an uncommon use will often be cited explicitly in LSJ), </w:t>
      </w:r>
      <w:r w:rsidRPr="00261907">
        <w:rPr>
          <w:rFonts w:ascii="PalatinoLinotype-Bold" w:hAnsi="PalatinoLinotype-Bold" w:cs="Times New Roman"/>
          <w:b/>
          <w:bCs/>
          <w:color w:val="000000"/>
          <w:sz w:val="18"/>
          <w:szCs w:val="18"/>
        </w:rPr>
        <w:t>make a written note of the word</w:t>
      </w:r>
      <w:r w:rsidRPr="00261907">
        <w:rPr>
          <w:rFonts w:ascii="PalatinoLinotype-Roman" w:hAnsi="PalatinoLinotype-Roman" w:cs="Times New Roman"/>
          <w:color w:val="000000"/>
          <w:sz w:val="18"/>
          <w:szCs w:val="18"/>
        </w:rPr>
        <w:t>: this is, then, a common word that you need to commit to memory.</w:t>
      </w:r>
    </w:p>
    <w:p w14:paraId="156F6DBD"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 xml:space="preserve">5. </w:t>
      </w:r>
      <w:r w:rsidR="001072B8">
        <w:rPr>
          <w:rFonts w:ascii="PalatinoLinotype-Roman" w:hAnsi="PalatinoLinotype-Roman" w:cs="Times New Roman"/>
          <w:color w:val="000000"/>
          <w:sz w:val="18"/>
          <w:szCs w:val="18"/>
        </w:rPr>
        <w:t>On reserve in the Classics library are commentaries, ranging from very elementary to extensive</w:t>
      </w:r>
      <w:r w:rsidRPr="00261907">
        <w:rPr>
          <w:rFonts w:ascii="PalatinoLinotype-Roman" w:hAnsi="PalatinoLinotype-Roman" w:cs="Times New Roman"/>
          <w:color w:val="000000"/>
          <w:sz w:val="18"/>
          <w:szCs w:val="18"/>
        </w:rPr>
        <w:t>. Try not to use th</w:t>
      </w:r>
      <w:r w:rsidR="001072B8">
        <w:rPr>
          <w:rFonts w:ascii="PalatinoLinotype-Roman" w:hAnsi="PalatinoLinotype-Roman" w:cs="Times New Roman"/>
          <w:color w:val="000000"/>
          <w:sz w:val="18"/>
          <w:szCs w:val="18"/>
        </w:rPr>
        <w:t>ese</w:t>
      </w:r>
      <w:r w:rsidRPr="00261907">
        <w:rPr>
          <w:rFonts w:ascii="PalatinoLinotype-Roman" w:hAnsi="PalatinoLinotype-Roman" w:cs="Times New Roman"/>
          <w:color w:val="000000"/>
          <w:sz w:val="18"/>
          <w:szCs w:val="18"/>
        </w:rPr>
        <w:t xml:space="preserve"> very much. Best really is to read the entire passage, and then quickly read over </w:t>
      </w:r>
      <w:r w:rsidR="001072B8">
        <w:rPr>
          <w:rFonts w:ascii="PalatinoLinotype-Roman" w:hAnsi="PalatinoLinotype-Roman" w:cs="Times New Roman"/>
          <w:color w:val="000000"/>
          <w:sz w:val="18"/>
          <w:szCs w:val="18"/>
        </w:rPr>
        <w:t>your</w:t>
      </w:r>
      <w:r w:rsidRPr="00261907">
        <w:rPr>
          <w:rFonts w:ascii="PalatinoLinotype-Roman" w:hAnsi="PalatinoLinotype-Roman" w:cs="Times New Roman"/>
          <w:color w:val="000000"/>
          <w:sz w:val="18"/>
          <w:szCs w:val="18"/>
        </w:rPr>
        <w:t xml:space="preserve"> commentary</w:t>
      </w:r>
      <w:r w:rsidR="001072B8">
        <w:rPr>
          <w:rFonts w:ascii="PalatinoLinotype-Roman" w:hAnsi="PalatinoLinotype-Roman" w:cs="Times New Roman"/>
          <w:color w:val="000000"/>
          <w:sz w:val="18"/>
          <w:szCs w:val="18"/>
        </w:rPr>
        <w:t xml:space="preserve"> of choice</w:t>
      </w:r>
      <w:r w:rsidRPr="00261907">
        <w:rPr>
          <w:rFonts w:ascii="PalatinoLinotype-Roman" w:hAnsi="PalatinoLinotype-Roman" w:cs="Times New Roman"/>
          <w:color w:val="000000"/>
          <w:sz w:val="18"/>
          <w:szCs w:val="18"/>
        </w:rPr>
        <w:t xml:space="preserve"> to see what it illuminates. It's not that a commentary is a bad thing, but the goal in this course is to develop fluency in reading Greek — which consultation of commentaries definitely intrudes upon.</w:t>
      </w:r>
      <w:r w:rsidR="001072B8">
        <w:rPr>
          <w:rFonts w:ascii="PalatinoLinotype-Roman" w:hAnsi="PalatinoLinotype-Roman" w:cs="Times New Roman"/>
          <w:color w:val="000000"/>
          <w:sz w:val="18"/>
          <w:szCs w:val="18"/>
        </w:rPr>
        <w:t xml:space="preserve"> (You may wish to use one of the elementary commentaries early on, and the big Adams commentary later.)</w:t>
      </w:r>
    </w:p>
    <w:p w14:paraId="6ED1ADF8"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6. If you're following the rules, you will have clauses, even whole sentences, that are mysterious to you and which you cannot sort out. </w:t>
      </w:r>
      <w:r w:rsidRPr="00261907">
        <w:rPr>
          <w:rFonts w:ascii="PalatinoLinotype-Bold" w:hAnsi="PalatinoLinotype-Bold" w:cs="Times New Roman"/>
          <w:b/>
          <w:bCs/>
          <w:color w:val="000000"/>
          <w:sz w:val="18"/>
          <w:szCs w:val="18"/>
        </w:rPr>
        <w:t>Make a note of which those are</w:t>
      </w:r>
      <w:r w:rsidRPr="00261907">
        <w:rPr>
          <w:rFonts w:ascii="PalatinoLinotype-Roman" w:hAnsi="PalatinoLinotype-Roman" w:cs="Times New Roman"/>
          <w:color w:val="000000"/>
          <w:sz w:val="18"/>
          <w:szCs w:val="18"/>
        </w:rPr>
        <w:t> (perhaps have a print-out where you underline the mysterious bits?) and bring to class. Again, we will try to work out a method for attacking these problem bits. Remember, no consultation of a translation.</w:t>
      </w:r>
    </w:p>
    <w:p w14:paraId="7D0BF9C7"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7. Yes, you'll want Smyth to hand.</w:t>
      </w:r>
      <w:r w:rsidR="001072B8">
        <w:rPr>
          <w:rFonts w:ascii="PalatinoLinotype-Roman" w:hAnsi="PalatinoLinotype-Roman" w:cs="Times New Roman"/>
          <w:color w:val="000000"/>
          <w:sz w:val="18"/>
          <w:szCs w:val="18"/>
        </w:rPr>
        <w:t xml:space="preserve"> If you don’t own Smyth, this is the time to buy it. Be careful to get the hardcover only, the one published by Harvard University Press (red cover). There are several available at a good price from ABEBOOKS.com.</w:t>
      </w:r>
    </w:p>
    <w:p w14:paraId="4F7A3CB4" w14:textId="77777777" w:rsidR="00261907" w:rsidRPr="00261907" w:rsidRDefault="00261907" w:rsidP="00261907">
      <w:pPr>
        <w:spacing w:line="300" w:lineRule="atLeast"/>
        <w:ind w:firstLine="540"/>
        <w:rPr>
          <w:rFonts w:ascii="PalatinoLinotype-Roman" w:hAnsi="PalatinoLinotype-Roman" w:cs="Times New Roman"/>
          <w:color w:val="000000"/>
          <w:sz w:val="18"/>
          <w:szCs w:val="18"/>
        </w:rPr>
      </w:pPr>
      <w:r w:rsidRPr="00261907">
        <w:rPr>
          <w:rFonts w:ascii="PalatinoLinotype-Roman" w:hAnsi="PalatinoLinotype-Roman" w:cs="Times New Roman"/>
          <w:color w:val="000000"/>
          <w:sz w:val="18"/>
          <w:szCs w:val="18"/>
        </w:rPr>
        <w:t>8. In reviewing the passage </w:t>
      </w:r>
      <w:r w:rsidRPr="00261907">
        <w:rPr>
          <w:rFonts w:ascii="PalatinoLinotype-Bold" w:hAnsi="PalatinoLinotype-Bold" w:cs="Times New Roman"/>
          <w:b/>
          <w:bCs/>
          <w:color w:val="000000"/>
          <w:sz w:val="18"/>
          <w:szCs w:val="18"/>
        </w:rPr>
        <w:t>after</w:t>
      </w:r>
      <w:r w:rsidRPr="00261907">
        <w:rPr>
          <w:rFonts w:ascii="PalatinoLinotype-Roman" w:hAnsi="PalatinoLinotype-Roman" w:cs="Times New Roman"/>
          <w:color w:val="000000"/>
          <w:sz w:val="18"/>
          <w:szCs w:val="18"/>
        </w:rPr>
        <w:t> class, it's entirely okay to consult a translation so that you can be sure you are getting things right: at the clause level, after all, a translation can be the most detailed kind of commentary. Similarly, it's of course okay to consult a translation as you review and prepare for exams.</w:t>
      </w:r>
      <w:r w:rsidR="001072B8">
        <w:rPr>
          <w:rFonts w:ascii="PalatinoLinotype-Roman" w:hAnsi="PalatinoLinotype-Roman" w:cs="Times New Roman"/>
          <w:color w:val="000000"/>
          <w:sz w:val="18"/>
          <w:szCs w:val="18"/>
        </w:rPr>
        <w:t xml:space="preserve"> But NOT for class preparation.</w:t>
      </w:r>
    </w:p>
    <w:p w14:paraId="1F77B782" w14:textId="77777777" w:rsidR="00261907" w:rsidRPr="00261907" w:rsidRDefault="00261907" w:rsidP="00261907">
      <w:pPr>
        <w:rPr>
          <w:rFonts w:ascii="Times" w:eastAsia="Times New Roman" w:hAnsi="Times" w:cs="Times New Roman"/>
          <w:color w:val="000000"/>
          <w:sz w:val="27"/>
          <w:szCs w:val="27"/>
        </w:rPr>
      </w:pPr>
    </w:p>
    <w:p w14:paraId="4EC7C234" w14:textId="77777777" w:rsidR="00C43EF0" w:rsidRDefault="001072B8"/>
    <w:sectPr w:rsidR="00C43EF0" w:rsidSect="005E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Linotype-Bold">
    <w:charset w:val="00"/>
    <w:family w:val="roman"/>
    <w:pitch w:val="variable"/>
    <w:sig w:usb0="E0000287" w:usb1="40000013" w:usb2="00000000" w:usb3="00000000" w:csb0="0000019F" w:csb1="00000000"/>
  </w:font>
  <w:font w:name="TimesNewRomanPSMT">
    <w:charset w:val="00"/>
    <w:family w:val="roman"/>
    <w:pitch w:val="variable"/>
    <w:sig w:usb0="E0002AEF" w:usb1="C0007841" w:usb2="00000009" w:usb3="00000000" w:csb0="000001FF" w:csb1="00000000"/>
  </w:font>
  <w:font w:name="PalatinoLinotype-Roman">
    <w:charset w:val="00"/>
    <w:family w:val="roman"/>
    <w:pitch w:val="variable"/>
    <w:sig w:usb0="E0000287" w:usb1="40000013" w:usb2="00000000" w:usb3="00000000" w:csb0="0000019F" w:csb1="00000000"/>
  </w:font>
  <w:font w:name="PalatinoLinotype-Italic">
    <w:charset w:val="00"/>
    <w:family w:val="roman"/>
    <w:pitch w:val="variable"/>
    <w:sig w:usb0="E0000287" w:usb1="40000013"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07"/>
    <w:rsid w:val="001072B8"/>
    <w:rsid w:val="00261907"/>
    <w:rsid w:val="002C2DFA"/>
    <w:rsid w:val="005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88B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1">
    <w:name w:val="paragraph_style_1"/>
    <w:basedOn w:val="Normal"/>
    <w:rsid w:val="00261907"/>
    <w:pPr>
      <w:spacing w:before="100" w:beforeAutospacing="1" w:after="100" w:afterAutospacing="1"/>
    </w:pPr>
    <w:rPr>
      <w:rFonts w:ascii="Times New Roman" w:hAnsi="Times New Roman" w:cs="Times New Roman"/>
    </w:rPr>
  </w:style>
  <w:style w:type="paragraph" w:customStyle="1" w:styleId="paragraphstyle2">
    <w:name w:val="paragraph_style_2"/>
    <w:basedOn w:val="Normal"/>
    <w:rsid w:val="00261907"/>
    <w:pPr>
      <w:spacing w:before="100" w:beforeAutospacing="1" w:after="100" w:afterAutospacing="1"/>
    </w:pPr>
    <w:rPr>
      <w:rFonts w:ascii="Times New Roman" w:hAnsi="Times New Roman" w:cs="Times New Roman"/>
    </w:rPr>
  </w:style>
  <w:style w:type="paragraph" w:customStyle="1" w:styleId="paragraphstyle3">
    <w:name w:val="paragraph_style_3"/>
    <w:basedOn w:val="Normal"/>
    <w:rsid w:val="00261907"/>
    <w:pPr>
      <w:spacing w:before="100" w:beforeAutospacing="1" w:after="100" w:afterAutospacing="1"/>
    </w:pPr>
    <w:rPr>
      <w:rFonts w:ascii="Times New Roman" w:hAnsi="Times New Roman" w:cs="Times New Roman"/>
    </w:rPr>
  </w:style>
  <w:style w:type="character" w:customStyle="1" w:styleId="style">
    <w:name w:val="style"/>
    <w:basedOn w:val="DefaultParagraphFont"/>
    <w:rsid w:val="00261907"/>
  </w:style>
  <w:style w:type="character" w:customStyle="1" w:styleId="style1">
    <w:name w:val="style_1"/>
    <w:basedOn w:val="DefaultParagraphFont"/>
    <w:rsid w:val="00261907"/>
  </w:style>
  <w:style w:type="character" w:customStyle="1" w:styleId="style2">
    <w:name w:val="style_2"/>
    <w:basedOn w:val="DefaultParagraphFont"/>
    <w:rsid w:val="00261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7058">
      <w:bodyDiv w:val="1"/>
      <w:marLeft w:val="0"/>
      <w:marRight w:val="0"/>
      <w:marTop w:val="0"/>
      <w:marBottom w:val="0"/>
      <w:divBdr>
        <w:top w:val="none" w:sz="0" w:space="0" w:color="auto"/>
        <w:left w:val="none" w:sz="0" w:space="0" w:color="auto"/>
        <w:bottom w:val="none" w:sz="0" w:space="0" w:color="auto"/>
        <w:right w:val="none" w:sz="0" w:space="0" w:color="auto"/>
      </w:divBdr>
      <w:divsChild>
        <w:div w:id="45955483">
          <w:marLeft w:val="0"/>
          <w:marRight w:val="0"/>
          <w:marTop w:val="0"/>
          <w:marBottom w:val="0"/>
          <w:divBdr>
            <w:top w:val="none" w:sz="0" w:space="0" w:color="auto"/>
            <w:left w:val="none" w:sz="0" w:space="0" w:color="auto"/>
            <w:bottom w:val="none" w:sz="0" w:space="0" w:color="auto"/>
            <w:right w:val="none" w:sz="0" w:space="0" w:color="auto"/>
          </w:divBdr>
          <w:divsChild>
            <w:div w:id="42559695">
              <w:marLeft w:val="0"/>
              <w:marRight w:val="0"/>
              <w:marTop w:val="0"/>
              <w:marBottom w:val="0"/>
              <w:divBdr>
                <w:top w:val="none" w:sz="0" w:space="0" w:color="auto"/>
                <w:left w:val="none" w:sz="0" w:space="0" w:color="auto"/>
                <w:bottom w:val="none" w:sz="0" w:space="0" w:color="auto"/>
                <w:right w:val="none" w:sz="0" w:space="0" w:color="auto"/>
              </w:divBdr>
              <w:divsChild>
                <w:div w:id="726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91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2019-08-26T20:23:00Z</dcterms:created>
  <dcterms:modified xsi:type="dcterms:W3CDTF">2019-08-26T20:31:00Z</dcterms:modified>
</cp:coreProperties>
</file>